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5C615">
      <w:pPr>
        <w:tabs>
          <w:tab w:val="left" w:pos="1126"/>
          <w:tab w:val="center" w:pos="4212"/>
        </w:tabs>
        <w:jc w:val="center"/>
        <w:rPr>
          <w:rFonts w:hint="default" w:ascii="Times New Roman" w:hAnsi="Times New Roman" w:cs="Times New Roman"/>
          <w:b/>
          <w:bCs/>
          <w:sz w:val="32"/>
          <w:szCs w:val="40"/>
        </w:rPr>
      </w:pPr>
      <w:r>
        <w:rPr>
          <w:rFonts w:hint="default" w:ascii="Times New Roman" w:hAnsi="Times New Roman" w:cs="Times New Roman"/>
          <w:b/>
          <w:bCs/>
          <w:sz w:val="32"/>
          <w:szCs w:val="40"/>
        </w:rPr>
        <w:t>Supplementary Materials</w:t>
      </w:r>
      <w:r>
        <w:rPr>
          <w:rFonts w:hint="eastAsia" w:ascii="Times New Roman" w:hAnsi="Times New Roman" w:cs="Times New Roman"/>
          <w:b/>
          <w:bCs/>
          <w:sz w:val="32"/>
          <w:szCs w:val="40"/>
          <w:lang w:val="en-US" w:eastAsia="zh-CN"/>
        </w:rPr>
        <w:t xml:space="preserve"> 1</w:t>
      </w:r>
      <w:r>
        <w:rPr>
          <w:rFonts w:hint="default" w:ascii="Times New Roman" w:hAnsi="Times New Roman" w:cs="Times New Roman"/>
          <w:b/>
          <w:bCs/>
          <w:sz w:val="32"/>
          <w:szCs w:val="40"/>
        </w:rPr>
        <w:t>:</w:t>
      </w:r>
    </w:p>
    <w:p w14:paraId="69839325">
      <w:pPr>
        <w:tabs>
          <w:tab w:val="left" w:pos="1126"/>
          <w:tab w:val="center" w:pos="4212"/>
        </w:tabs>
        <w:jc w:val="center"/>
        <w:rPr>
          <w:rFonts w:hint="default" w:ascii="Times New Roman" w:hAnsi="Times New Roman" w:cs="Times New Roman"/>
          <w:b/>
          <w:bCs/>
          <w:sz w:val="32"/>
          <w:szCs w:val="40"/>
        </w:rPr>
      </w:pPr>
      <w:r>
        <w:rPr>
          <w:rFonts w:hint="default" w:ascii="Times New Roman" w:hAnsi="Times New Roman" w:cs="Times New Roman"/>
          <w:b/>
          <w:bCs/>
          <w:sz w:val="32"/>
          <w:szCs w:val="40"/>
        </w:rPr>
        <w:t xml:space="preserve"> Non-targeted metabolomics experimental and computational workflowNon-targeted metabolomics experimental workflow</w:t>
      </w:r>
    </w:p>
    <w:p w14:paraId="55B63EF4">
      <w:pPr>
        <w:numPr>
          <w:ilvl w:val="0"/>
          <w:numId w:val="1"/>
        </w:numPr>
        <w:rPr>
          <w:rFonts w:hint="default" w:ascii="Times New Roman" w:hAnsi="Times New Roman" w:cs="Times New Roman"/>
          <w:b/>
          <w:bCs/>
          <w:sz w:val="28"/>
          <w:szCs w:val="36"/>
          <w:lang w:val="en-US" w:eastAsia="zh-CN"/>
        </w:rPr>
      </w:pPr>
      <w:r>
        <w:rPr>
          <w:rFonts w:hint="default" w:ascii="Times New Roman" w:hAnsi="Times New Roman" w:cs="Times New Roman"/>
          <w:b/>
          <w:bCs/>
          <w:sz w:val="28"/>
          <w:szCs w:val="36"/>
          <w:lang w:val="en-US" w:eastAsia="zh-CN"/>
        </w:rPr>
        <w:t>Test Steps</w:t>
      </w:r>
      <w:bookmarkStart w:id="0" w:name="_GoBack"/>
      <w:bookmarkEnd w:id="0"/>
    </w:p>
    <w:p w14:paraId="2FC6834F">
      <w:pPr>
        <w:numPr>
          <w:ilvl w:val="0"/>
          <w:numId w:val="0"/>
        </w:numPr>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1.1</w:t>
      </w:r>
      <w:r>
        <w:rPr>
          <w:rFonts w:hint="eastAsia" w:ascii="Times New Roman" w:hAnsi="Times New Roman" w:cs="Times New Roman"/>
          <w:sz w:val="24"/>
          <w:szCs w:val="32"/>
          <w:lang w:val="en-US" w:eastAsia="zh-CN"/>
        </w:rPr>
        <w:t xml:space="preserve"> </w:t>
      </w:r>
      <w:r>
        <w:rPr>
          <w:rFonts w:hint="default" w:ascii="Times New Roman" w:hAnsi="Times New Roman" w:cs="Times New Roman"/>
          <w:sz w:val="24"/>
          <w:szCs w:val="32"/>
          <w:lang w:val="en-US" w:eastAsia="zh-CN"/>
        </w:rPr>
        <w:t xml:space="preserve"> Metabolite extraction</w:t>
      </w:r>
    </w:p>
    <w:p w14:paraId="15C73323">
      <w:pPr>
        <w:widowControl w:val="0"/>
        <w:numPr>
          <w:ilvl w:val="0"/>
          <w:numId w:val="0"/>
        </w:numPr>
        <w:jc w:val="both"/>
        <w:rPr>
          <w:rFonts w:hint="default"/>
          <w:lang w:val="en-US" w:eastAsia="zh-CN"/>
        </w:rPr>
      </w:pPr>
    </w:p>
    <w:p w14:paraId="0A582E97">
      <w:pPr>
        <w:widowControl w:val="0"/>
        <w:numPr>
          <w:ilvl w:val="0"/>
          <w:numId w:val="0"/>
        </w:numPr>
        <w:jc w:val="both"/>
        <w:rPr>
          <w:rFonts w:hint="default"/>
          <w:lang w:val="en-US" w:eastAsia="zh-CN"/>
        </w:rPr>
      </w:pPr>
      <w:r>
        <w:rPr>
          <w:rFonts w:hint="default" w:ascii="Times New Roman" w:hAnsi="Times New Roman" w:cs="Times New Roman"/>
          <w:sz w:val="22"/>
          <w:szCs w:val="28"/>
          <w:lang w:val="en-US" w:eastAsia="zh-CN"/>
        </w:rPr>
        <w:t>The collected samples were thawed on ice, and metabolite</w:t>
      </w:r>
      <w:r>
        <w:rPr>
          <w:rFonts w:hint="eastAsia" w:ascii="Times New Roman" w:hAnsi="Times New Roman" w:cs="Times New Roman"/>
          <w:sz w:val="22"/>
          <w:szCs w:val="28"/>
          <w:lang w:val="en-US" w:eastAsia="zh-CN"/>
        </w:rPr>
        <w:t>s</w:t>
      </w:r>
      <w:r>
        <w:rPr>
          <w:rFonts w:hint="default" w:ascii="Times New Roman" w:hAnsi="Times New Roman" w:cs="Times New Roman"/>
          <w:sz w:val="22"/>
          <w:szCs w:val="28"/>
          <w:lang w:val="en-US" w:eastAsia="zh-CN"/>
        </w:rPr>
        <w:t xml:space="preserve"> were extracted with 50% methanol</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Buffer. Briefly, 100 mg of sample was extracted with 1 ml of precooled 50% methanol, vortexed</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for 1 min, and incubated at room temperature for 10 min; the extraction mixture was then stored</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overnight at -20°C. After centrifugation at 4,000 g for 20 min, the supernatants were transferred</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into new 96-well plates. The samples were stored at -80 ° C prior to LC-MS analysis. In</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addition, pooled QC samples were also prepared by combining 10 μ L of each extraction</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mixture.</w:t>
      </w:r>
    </w:p>
    <w:p w14:paraId="2850014B">
      <w:pPr>
        <w:widowControl w:val="0"/>
        <w:numPr>
          <w:ilvl w:val="0"/>
          <w:numId w:val="0"/>
        </w:numPr>
        <w:jc w:val="both"/>
        <w:rPr>
          <w:rFonts w:hint="default"/>
          <w:lang w:val="en-US" w:eastAsia="zh-CN"/>
        </w:rPr>
      </w:pPr>
    </w:p>
    <w:p w14:paraId="20B13CC4">
      <w:pPr>
        <w:numPr>
          <w:ilvl w:val="0"/>
          <w:numId w:val="0"/>
        </w:numPr>
        <w:rPr>
          <w:rFonts w:hint="eastAsia" w:ascii="Times New Roman" w:hAnsi="Times New Roman" w:cs="Times New Roman"/>
          <w:sz w:val="24"/>
          <w:szCs w:val="32"/>
          <w:lang w:val="en-US" w:eastAsia="zh-CN"/>
        </w:rPr>
      </w:pPr>
      <w:r>
        <w:rPr>
          <w:rFonts w:hint="default" w:ascii="Times New Roman" w:hAnsi="Times New Roman" w:cs="Times New Roman"/>
          <w:sz w:val="24"/>
          <w:szCs w:val="32"/>
          <w:lang w:val="en-US" w:eastAsia="zh-CN"/>
        </w:rPr>
        <w:t xml:space="preserve">1.2 </w:t>
      </w:r>
      <w:r>
        <w:rPr>
          <w:rFonts w:hint="eastAsia" w:ascii="Times New Roman" w:hAnsi="Times New Roman" w:cs="Times New Roman"/>
          <w:sz w:val="24"/>
          <w:szCs w:val="32"/>
          <w:lang w:val="en-US" w:eastAsia="zh-CN"/>
        </w:rPr>
        <w:t xml:space="preserve"> Liquid chromatography parameter description </w:t>
      </w:r>
    </w:p>
    <w:p w14:paraId="3E0E2E02">
      <w:pPr>
        <w:numPr>
          <w:ilvl w:val="0"/>
          <w:numId w:val="0"/>
        </w:numPr>
        <w:rPr>
          <w:rFonts w:hint="default" w:ascii="Times New Roman" w:hAnsi="Times New Roman" w:cs="Times New Roman"/>
          <w:sz w:val="24"/>
          <w:szCs w:val="32"/>
          <w:lang w:val="en-US" w:eastAsia="zh-CN"/>
        </w:rPr>
      </w:pPr>
    </w:p>
    <w:p w14:paraId="64CB28A3">
      <w:pPr>
        <w:widowControl w:val="0"/>
        <w:numPr>
          <w:ilvl w:val="0"/>
          <w:numId w:val="0"/>
        </w:numPr>
        <w:jc w:val="both"/>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 xml:space="preserve">All samples were acquired by the LC-MS system followed machine orders. Firstly, all </w:t>
      </w:r>
    </w:p>
    <w:p w14:paraId="3C4DDC27">
      <w:pPr>
        <w:widowControl w:val="0"/>
        <w:numPr>
          <w:ilvl w:val="0"/>
          <w:numId w:val="0"/>
        </w:numPr>
        <w:jc w:val="both"/>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 xml:space="preserve">chromatographic separations were performed using a Vanquish Flex UHPLC system (Thermo </w:t>
      </w:r>
    </w:p>
    <w:p w14:paraId="38B3EDE8">
      <w:pPr>
        <w:widowControl w:val="0"/>
        <w:numPr>
          <w:ilvl w:val="0"/>
          <w:numId w:val="0"/>
        </w:numPr>
        <w:jc w:val="both"/>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Fisher Scientific, Bremen, Germany). An ACQUITY UPLC T3 column (100mm*2.1mm, 1.8µm, Waters, Milford, USA) was used for the reversed phase separation. The column oven was maintained at 35</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lang w:val="en-US" w:eastAsia="zh-CN"/>
        </w:rPr>
        <w:t>C. The flow rate was 0.4 ml/min and the mobile phase consisted of solvent A (water, 0.1% formic acid) and solvent B (Acetonitrile, 0.1% formic acid). Gradient elution conditions were set as follows: 0</w:t>
      </w:r>
      <w:r>
        <w:rPr>
          <w:rFonts w:hint="eastAsia" w:ascii="Times New Roman" w:hAnsi="Times New Roman" w:cs="Times New Roman"/>
          <w:sz w:val="22"/>
          <w:szCs w:val="28"/>
          <w:lang w:val="en-US" w:eastAsia="zh-CN"/>
        </w:rPr>
        <w:t xml:space="preserve"> to </w:t>
      </w:r>
      <w:r>
        <w:rPr>
          <w:rFonts w:hint="default" w:ascii="Times New Roman" w:hAnsi="Times New Roman" w:cs="Times New Roman"/>
          <w:sz w:val="22"/>
          <w:szCs w:val="28"/>
          <w:lang w:val="en-US" w:eastAsia="zh-CN"/>
        </w:rPr>
        <w:t>0.5 min, 5% B; 0.5</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lang w:val="en-US" w:eastAsia="zh-CN"/>
        </w:rPr>
        <w:t>7 min, 5% to 100% B; 7~8 min, 100% B; 8</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lang w:val="en-US" w:eastAsia="zh-CN"/>
        </w:rPr>
        <w:t>8.1 min, 100% to 5% B; 8.1</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lang w:val="en-US" w:eastAsia="zh-CN"/>
        </w:rPr>
        <w:t>10 min, 5%B.</w:t>
      </w:r>
    </w:p>
    <w:p w14:paraId="67149091">
      <w:pPr>
        <w:widowControl w:val="0"/>
        <w:numPr>
          <w:ilvl w:val="0"/>
          <w:numId w:val="0"/>
        </w:numPr>
        <w:jc w:val="both"/>
        <w:rPr>
          <w:rFonts w:hint="default"/>
          <w:lang w:val="en-US" w:eastAsia="zh-CN"/>
        </w:rPr>
      </w:pPr>
    </w:p>
    <w:p w14:paraId="670C30B1">
      <w:pPr>
        <w:numPr>
          <w:ilvl w:val="0"/>
          <w:numId w:val="0"/>
        </w:numPr>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 xml:space="preserve">1.3 </w:t>
      </w:r>
      <w:r>
        <w:rPr>
          <w:rFonts w:hint="eastAsia" w:ascii="Times New Roman" w:hAnsi="Times New Roman" w:cs="Times New Roman"/>
          <w:sz w:val="24"/>
          <w:szCs w:val="32"/>
          <w:lang w:val="en-US" w:eastAsia="zh-CN"/>
        </w:rPr>
        <w:t xml:space="preserve">Mass spectrometry parameter description </w:t>
      </w:r>
    </w:p>
    <w:p w14:paraId="6CB6049D">
      <w:pPr>
        <w:widowControl w:val="0"/>
        <w:numPr>
          <w:ilvl w:val="0"/>
          <w:numId w:val="0"/>
        </w:numPr>
        <w:jc w:val="both"/>
        <w:rPr>
          <w:rFonts w:hint="default" w:ascii="Times New Roman" w:hAnsi="Times New Roman" w:cs="Times New Roman"/>
          <w:sz w:val="22"/>
          <w:szCs w:val="28"/>
          <w:lang w:val="en-US" w:eastAsia="zh-CN"/>
        </w:rPr>
      </w:pPr>
    </w:p>
    <w:p w14:paraId="61137A88">
      <w:pPr>
        <w:widowControl w:val="0"/>
        <w:numPr>
          <w:ilvl w:val="0"/>
          <w:numId w:val="0"/>
        </w:numPr>
        <w:jc w:val="both"/>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A high-resolution tandem mass spectrometer Q-Exactive (Thermo Scientific) was used to detect metabolites eluted f</w:t>
      </w:r>
      <w:r>
        <w:rPr>
          <w:rFonts w:hint="eastAsia" w:ascii="Times New Roman" w:hAnsi="Times New Roman" w:cs="Times New Roman"/>
          <w:sz w:val="22"/>
          <w:szCs w:val="28"/>
          <w:lang w:val="en-US" w:eastAsia="zh-CN"/>
        </w:rPr>
        <w:t>ro</w:t>
      </w:r>
      <w:r>
        <w:rPr>
          <w:rFonts w:hint="default" w:ascii="Times New Roman" w:hAnsi="Times New Roman" w:cs="Times New Roman"/>
          <w:sz w:val="22"/>
          <w:szCs w:val="28"/>
          <w:lang w:val="en-US" w:eastAsia="zh-CN"/>
        </w:rPr>
        <w:t>m the column. The Q-Exactive was operated in both positive and negative ion modes. Precursor spectra (70</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lang w:val="en-US" w:eastAsia="zh-CN"/>
        </w:rPr>
        <w:t>1050 m/z) were collected at 70,000 resolution to hit an AGC target of 3e6. The maximum inject time was set to 100 ms. A top 3 configuration to acquire data was set in DDA mode. Fragment spectra were collected at 17,500 resolution to hit an AGC target of 1e5 with a maximum inject time of 80 ms.In order to evaluate the stability of the LC-MS during the whole acquisition, a quality control sample (Pool of all samples) was acquired after every 10 samples.</w:t>
      </w:r>
    </w:p>
    <w:p w14:paraId="2F467E34">
      <w:pPr>
        <w:rPr>
          <w:rFonts w:hint="default"/>
          <w:lang w:val="en-US" w:eastAsia="zh-CN"/>
        </w:rPr>
      </w:pPr>
      <w:r>
        <w:rPr>
          <w:rFonts w:hint="default"/>
          <w:lang w:val="en-US" w:eastAsia="zh-CN"/>
        </w:rPr>
        <w:br w:type="page"/>
      </w:r>
    </w:p>
    <w:p w14:paraId="79D739ED">
      <w:pPr>
        <w:numPr>
          <w:ilvl w:val="0"/>
          <w:numId w:val="1"/>
        </w:numPr>
        <w:rPr>
          <w:rFonts w:hint="eastAsia" w:ascii="Times New Roman" w:hAnsi="Times New Roman" w:cs="Times New Roman"/>
          <w:b/>
          <w:bCs/>
          <w:sz w:val="28"/>
          <w:szCs w:val="36"/>
          <w:lang w:val="en-US" w:eastAsia="zh-CN"/>
        </w:rPr>
      </w:pPr>
      <w:r>
        <w:rPr>
          <w:rFonts w:hint="eastAsia" w:ascii="Times New Roman" w:hAnsi="Times New Roman" w:cs="Times New Roman"/>
          <w:b/>
          <w:bCs/>
          <w:sz w:val="28"/>
          <w:szCs w:val="36"/>
          <w:lang w:val="en-US" w:eastAsia="zh-CN"/>
        </w:rPr>
        <w:t>Data analysis workflow</w:t>
      </w:r>
    </w:p>
    <w:p w14:paraId="4C4528A6">
      <w:pPr>
        <w:numPr>
          <w:ilvl w:val="0"/>
          <w:numId w:val="0"/>
        </w:numPr>
        <w:rPr>
          <w:rFonts w:hint="default" w:ascii="Times New Roman" w:hAnsi="Times New Roman" w:cs="Times New Roman"/>
          <w:sz w:val="24"/>
          <w:szCs w:val="32"/>
          <w:lang w:val="en-US" w:eastAsia="zh-CN"/>
        </w:rPr>
      </w:pPr>
      <w:r>
        <w:rPr>
          <w:rFonts w:hint="default" w:ascii="Times New Roman" w:hAnsi="Times New Roman" w:cs="Times New Roman"/>
          <w:sz w:val="24"/>
          <w:szCs w:val="32"/>
          <w:lang w:val="en-US" w:eastAsia="zh-CN"/>
        </w:rPr>
        <w:t>2.1 Data analysis description</w:t>
      </w:r>
      <w:r>
        <w:rPr>
          <w:rFonts w:hint="eastAsia" w:ascii="Times New Roman" w:hAnsi="Times New Roman" w:cs="Times New Roman"/>
          <w:sz w:val="24"/>
          <w:szCs w:val="32"/>
          <w:lang w:val="en-US" w:eastAsia="zh-CN"/>
        </w:rPr>
        <w:t xml:space="preserve"> </w:t>
      </w:r>
    </w:p>
    <w:p w14:paraId="01C65E27">
      <w:pPr>
        <w:widowControl w:val="0"/>
        <w:numPr>
          <w:ilvl w:val="0"/>
          <w:numId w:val="0"/>
        </w:numPr>
        <w:jc w:val="both"/>
        <w:rPr>
          <w:rFonts w:hint="default" w:ascii="Times New Roman" w:hAnsi="Times New Roman" w:cs="Times New Roman"/>
          <w:sz w:val="22"/>
          <w:szCs w:val="28"/>
          <w:lang w:val="en-US" w:eastAsia="zh-CN"/>
        </w:rPr>
      </w:pPr>
    </w:p>
    <w:p w14:paraId="35756641">
      <w:pPr>
        <w:widowControl w:val="0"/>
        <w:numPr>
          <w:ilvl w:val="0"/>
          <w:numId w:val="0"/>
        </w:numPr>
        <w:jc w:val="both"/>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 xml:space="preserve">The acquired MS data pretreatments including peak picking, peak grouping, retention time </w:t>
      </w:r>
    </w:p>
    <w:p w14:paraId="2C425E24">
      <w:pPr>
        <w:widowControl w:val="0"/>
        <w:numPr>
          <w:ilvl w:val="0"/>
          <w:numId w:val="0"/>
        </w:numPr>
        <w:jc w:val="both"/>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 xml:space="preserve">correction, second peak grouping, and annotation of isotopes and adducts was performed using XCMS software. LC−MS raw data files were converted into mzXML format and then processed by the XCMS, CAMERA and metaX toolbox implemented with the R software. Each ion was identified by combining retention time (RT) and m/z data. Intensities of each peaks were recorded and a three dimensional matrix containing arbitrarily assigned peak indices (retention time-m/z pairs), sample names (observations) and ion intensity information (variables) was generated. The online KEGG, HMDB database was used to annotate the metabolites by matching the exact molecular mass data (m/z) of samples with those from database. If a mass difference between observed and the database value was less than 10 ppm, the metabolite would be annotated and the molecular formula of metabolites would further be identified and validated by the isotopic distribution measurements. We also used a in-house fragment spectrum library of metabolites to validate the metabolite identification. </w:t>
      </w:r>
    </w:p>
    <w:p w14:paraId="5FB3023F">
      <w:pPr>
        <w:widowControl w:val="0"/>
        <w:numPr>
          <w:ilvl w:val="0"/>
          <w:numId w:val="0"/>
        </w:numPr>
        <w:jc w:val="both"/>
        <w:rPr>
          <w:rFonts w:hint="default" w:ascii="Times New Roman" w:hAnsi="Times New Roman" w:cs="Times New Roman"/>
          <w:sz w:val="22"/>
          <w:szCs w:val="28"/>
          <w:lang w:val="en-US" w:eastAsia="zh-CN"/>
        </w:rPr>
      </w:pPr>
    </w:p>
    <w:p w14:paraId="0BF8B4AB">
      <w:pPr>
        <w:widowControl w:val="0"/>
        <w:numPr>
          <w:ilvl w:val="0"/>
          <w:numId w:val="0"/>
        </w:numPr>
        <w:jc w:val="both"/>
        <w:rPr>
          <w:rFonts w:hint="default" w:ascii="Times New Roman" w:hAnsi="Times New Roman" w:cs="Times New Roman"/>
          <w:sz w:val="22"/>
          <w:szCs w:val="28"/>
          <w:lang w:val="en-US" w:eastAsia="zh-CN"/>
        </w:rPr>
      </w:pPr>
      <w:r>
        <w:rPr>
          <w:rFonts w:hint="default" w:ascii="Times New Roman" w:hAnsi="Times New Roman" w:cs="Times New Roman"/>
          <w:sz w:val="22"/>
          <w:szCs w:val="28"/>
          <w:highlight w:val="none"/>
          <w:lang w:val="en-US" w:eastAsia="zh-CN"/>
        </w:rPr>
        <w:t>The inte</w:t>
      </w:r>
      <w:r>
        <w:rPr>
          <w:rFonts w:hint="default" w:ascii="Times New Roman" w:hAnsi="Times New Roman" w:cs="Times New Roman"/>
          <w:sz w:val="22"/>
          <w:szCs w:val="28"/>
          <w:lang w:val="en-US" w:eastAsia="zh-CN"/>
        </w:rPr>
        <w:t xml:space="preserve">nsity of peak data was further preprocessed by metaX. Those features that were detected in less than 50% of QC samples or 80% of biological samples were removed, the remaining peaks with missing values were imputed with the k-nearest neighbor algorithm to further improve the data quality. PCA was performed for outlier detection and batch effects evaluation using the pre-processed dataset. Quality control-based robust LOESS signal correction was fitted to the QC data with respect to the order of injection to minimize signal intensity drift over time. In addition, the relative standard deviations of the metabolic features were calculated across all QC samples, and those &gt; 30% were then removed. </w:t>
      </w:r>
    </w:p>
    <w:p w14:paraId="104176B3">
      <w:pPr>
        <w:widowControl w:val="0"/>
        <w:numPr>
          <w:ilvl w:val="0"/>
          <w:numId w:val="0"/>
        </w:numPr>
        <w:jc w:val="both"/>
        <w:rPr>
          <w:rFonts w:hint="default" w:ascii="Times New Roman" w:hAnsi="Times New Roman" w:cs="Times New Roman"/>
          <w:sz w:val="22"/>
          <w:szCs w:val="28"/>
          <w:lang w:val="en-US" w:eastAsia="zh-CN"/>
        </w:rPr>
      </w:pPr>
    </w:p>
    <w:p w14:paraId="126DA7F2">
      <w:pPr>
        <w:widowControl w:val="0"/>
        <w:numPr>
          <w:ilvl w:val="0"/>
          <w:numId w:val="0"/>
        </w:numPr>
        <w:jc w:val="both"/>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 xml:space="preserve">Student t-tests were conducted to detect differences in metabolite concentrations between 2 </w:t>
      </w:r>
    </w:p>
    <w:p w14:paraId="523C9266">
      <w:pPr>
        <w:widowControl w:val="0"/>
        <w:numPr>
          <w:ilvl w:val="0"/>
          <w:numId w:val="0"/>
        </w:numPr>
        <w:jc w:val="both"/>
        <w:rPr>
          <w:rFonts w:hint="default"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conditions</w:t>
      </w:r>
      <w:r>
        <w:rPr>
          <w:rFonts w:hint="default" w:ascii="Times New Roman" w:hAnsi="Times New Roman" w:cs="Times New Roman"/>
          <w:sz w:val="22"/>
          <w:szCs w:val="28"/>
          <w:lang w:val="en-US" w:eastAsia="zh-CN"/>
        </w:rPr>
        <w:t>.</w:t>
      </w:r>
      <w:r>
        <w:rPr>
          <w:rFonts w:hint="eastAsia" w:ascii="Times New Roman" w:hAnsi="Times New Roman" w:cs="Times New Roman"/>
          <w:sz w:val="22"/>
          <w:szCs w:val="28"/>
          <w:lang w:val="en-US" w:eastAsia="zh-CN"/>
        </w:rPr>
        <w:t xml:space="preserve"> </w:t>
      </w:r>
      <w:r>
        <w:rPr>
          <w:rFonts w:hint="default" w:ascii="Times New Roman" w:hAnsi="Times New Roman" w:cs="Times New Roman"/>
          <w:sz w:val="22"/>
          <w:szCs w:val="28"/>
          <w:lang w:val="en-US" w:eastAsia="zh-CN"/>
        </w:rPr>
        <w:t>P</w:t>
      </w:r>
      <w:r>
        <w:rPr>
          <w:rFonts w:hint="eastAsia" w:ascii="Times New Roman" w:hAnsi="Times New Roman" w:cs="Times New Roman"/>
          <w:sz w:val="22"/>
          <w:szCs w:val="28"/>
          <w:lang w:val="en-US" w:eastAsia="zh-CN"/>
        </w:rPr>
        <w:t>-</w:t>
      </w:r>
      <w:r>
        <w:rPr>
          <w:rFonts w:hint="default" w:ascii="Times New Roman" w:hAnsi="Times New Roman" w:cs="Times New Roman"/>
          <w:sz w:val="22"/>
          <w:szCs w:val="28"/>
          <w:lang w:val="en-US" w:eastAsia="zh-CN"/>
        </w:rPr>
        <w:t>value w</w:t>
      </w:r>
      <w:r>
        <w:rPr>
          <w:rFonts w:hint="eastAsia" w:ascii="Times New Roman" w:hAnsi="Times New Roman" w:cs="Times New Roman"/>
          <w:sz w:val="22"/>
          <w:szCs w:val="28"/>
          <w:lang w:val="en-US" w:eastAsia="zh-CN"/>
        </w:rPr>
        <w:t>ere</w:t>
      </w:r>
      <w:r>
        <w:rPr>
          <w:rFonts w:hint="default" w:ascii="Times New Roman" w:hAnsi="Times New Roman" w:cs="Times New Roman"/>
          <w:sz w:val="22"/>
          <w:szCs w:val="28"/>
          <w:lang w:val="en-US" w:eastAsia="zh-CN"/>
        </w:rPr>
        <w:t xml:space="preserve"> adjusted for multiple tests using an FDR (Benjamini–Hochberg). </w:t>
      </w:r>
    </w:p>
    <w:p w14:paraId="641A1948">
      <w:pPr>
        <w:widowControl w:val="0"/>
        <w:numPr>
          <w:ilvl w:val="0"/>
          <w:numId w:val="0"/>
        </w:numPr>
        <w:jc w:val="both"/>
        <w:rPr>
          <w:rFonts w:hint="default" w:ascii="Times New Roman" w:hAnsi="Times New Roman" w:cs="Times New Roman"/>
          <w:sz w:val="22"/>
          <w:szCs w:val="28"/>
          <w:lang w:val="en-US" w:eastAsia="zh-CN"/>
        </w:rPr>
      </w:pPr>
      <w:r>
        <w:rPr>
          <w:rFonts w:hint="default" w:ascii="Times New Roman" w:hAnsi="Times New Roman" w:cs="Times New Roman"/>
          <w:sz w:val="22"/>
          <w:szCs w:val="28"/>
          <w:lang w:val="en-US" w:eastAsia="zh-CN"/>
        </w:rPr>
        <w:t>Supervised PLS-DA was conducted through metaX to discriminate the different variables between groups. The VIP value was calculated. A VIP cut-off value of 1.0 was used to select important features.</w:t>
      </w:r>
    </w:p>
    <w:p w14:paraId="742E8478">
      <w:pPr>
        <w:widowControl w:val="0"/>
        <w:numPr>
          <w:ilvl w:val="0"/>
          <w:numId w:val="0"/>
        </w:numPr>
        <w:jc w:val="both"/>
        <w:rPr>
          <w:rFonts w:hint="default" w:ascii="Times New Roman" w:hAnsi="Times New Roman" w:cs="Times New Roman"/>
          <w:sz w:val="22"/>
          <w:szCs w:val="28"/>
          <w:lang w:val="en-US" w:eastAsia="zh-CN"/>
        </w:rPr>
      </w:pPr>
    </w:p>
    <w:p w14:paraId="768A782F">
      <w:pPr>
        <w:numPr>
          <w:ilvl w:val="0"/>
          <w:numId w:val="0"/>
        </w:numPr>
        <w:rPr>
          <w:rFonts w:hint="eastAsia" w:ascii="Times New Roman" w:hAnsi="Times New Roman" w:cs="Times New Roman"/>
          <w:sz w:val="24"/>
          <w:szCs w:val="32"/>
          <w:lang w:val="en-US" w:eastAsia="zh-CN"/>
        </w:rPr>
      </w:pPr>
      <w:r>
        <w:rPr>
          <w:rFonts w:hint="default" w:ascii="Times New Roman" w:hAnsi="Times New Roman" w:cs="Times New Roman"/>
          <w:sz w:val="24"/>
          <w:szCs w:val="32"/>
          <w:lang w:val="en-US" w:eastAsia="zh-CN"/>
        </w:rPr>
        <w:t>2.2 Key parameters of XCMS</w:t>
      </w:r>
      <w:r>
        <w:rPr>
          <w:rFonts w:hint="eastAsia" w:ascii="Times New Roman" w:hAnsi="Times New Roman" w:cs="Times New Roman"/>
          <w:sz w:val="24"/>
          <w:szCs w:val="32"/>
          <w:lang w:val="en-US" w:eastAsia="zh-CN"/>
        </w:rPr>
        <w:t xml:space="preserve"> </w:t>
      </w:r>
    </w:p>
    <w:p w14:paraId="4E137007">
      <w:pPr>
        <w:numPr>
          <w:ilvl w:val="0"/>
          <w:numId w:val="0"/>
        </w:numPr>
        <w:rPr>
          <w:rFonts w:hint="default" w:ascii="Times New Roman" w:hAnsi="Times New Roman" w:cs="Times New Roman"/>
          <w:sz w:val="24"/>
          <w:szCs w:val="32"/>
          <w:lang w:val="en-US" w:eastAsia="zh-CN"/>
        </w:rPr>
      </w:pPr>
    </w:p>
    <w:p w14:paraId="45B070E6">
      <w:pPr>
        <w:widowControl w:val="0"/>
        <w:numPr>
          <w:ilvl w:val="0"/>
          <w:numId w:val="0"/>
        </w:numPr>
        <w:jc w:val="both"/>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Peak detection was primarily performed using the open-source software XCMS. The process included peak alignment, peak picking, normalization, deconvolution, and compound identification. The key parameters for peak picking and identification are listed in the table below.</w:t>
      </w:r>
    </w:p>
    <w:p w14:paraId="48A3A5ED">
      <w:pP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br w:type="page"/>
      </w:r>
    </w:p>
    <w:p w14:paraId="1B8CF510">
      <w:pPr>
        <w:keepNext w:val="0"/>
        <w:keepLines w:val="0"/>
        <w:widowControl/>
        <w:suppressLineNumbers w:val="0"/>
        <w:jc w:val="left"/>
        <w:rPr>
          <w:rFonts w:hint="eastAsia" w:ascii="宋体" w:hAnsi="宋体" w:eastAsia="宋体" w:cs="宋体"/>
          <w:color w:val="000000"/>
          <w:kern w:val="0"/>
          <w:sz w:val="20"/>
          <w:szCs w:val="20"/>
          <w:lang w:val="en-US" w:eastAsia="zh-CN" w:bidi="ar"/>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E5C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000000" w:sz="12" w:space="0"/>
              <w:left w:val="nil"/>
              <w:bottom w:val="single" w:color="000000" w:sz="4" w:space="0"/>
              <w:right w:val="nil"/>
              <w:tl2br w:val="nil"/>
            </w:tcBorders>
            <w:shd w:val="clear" w:color="auto" w:fill="FFFFFF"/>
          </w:tcPr>
          <w:p w14:paraId="09F9A03F">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Item</w:t>
            </w:r>
          </w:p>
        </w:tc>
        <w:tc>
          <w:tcPr>
            <w:tcW w:w="4261" w:type="dxa"/>
            <w:tcBorders>
              <w:top w:val="single" w:color="000000" w:sz="12" w:space="0"/>
              <w:left w:val="nil"/>
              <w:bottom w:val="single" w:color="000000" w:sz="4" w:space="0"/>
              <w:right w:val="nil"/>
            </w:tcBorders>
            <w:shd w:val="clear" w:color="auto" w:fill="FFFFFF"/>
          </w:tcPr>
          <w:p w14:paraId="45428786">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Parameter</w:t>
            </w:r>
          </w:p>
        </w:tc>
      </w:tr>
      <w:tr w14:paraId="5D04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000000" w:sz="4" w:space="0"/>
              <w:left w:val="nil"/>
              <w:bottom w:val="nil"/>
              <w:right w:val="nil"/>
            </w:tcBorders>
            <w:shd w:val="clear" w:color="auto" w:fill="FFFFFF"/>
          </w:tcPr>
          <w:p w14:paraId="240E0715">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method</w:t>
            </w:r>
          </w:p>
        </w:tc>
        <w:tc>
          <w:tcPr>
            <w:tcW w:w="4261" w:type="dxa"/>
            <w:tcBorders>
              <w:top w:val="single" w:color="000000" w:sz="4" w:space="0"/>
              <w:left w:val="nil"/>
              <w:bottom w:val="nil"/>
              <w:right w:val="nil"/>
            </w:tcBorders>
            <w:shd w:val="clear" w:color="auto" w:fill="FFFFFF"/>
          </w:tcPr>
          <w:p w14:paraId="43330E94">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centWave</w:t>
            </w:r>
          </w:p>
        </w:tc>
      </w:tr>
      <w:tr w14:paraId="1454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FFFFFF"/>
          </w:tcPr>
          <w:p w14:paraId="15B99DF5">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minfrac</w:t>
            </w:r>
          </w:p>
        </w:tc>
        <w:tc>
          <w:tcPr>
            <w:tcW w:w="4261" w:type="dxa"/>
            <w:tcBorders>
              <w:top w:val="nil"/>
              <w:left w:val="nil"/>
              <w:bottom w:val="nil"/>
              <w:right w:val="nil"/>
            </w:tcBorders>
            <w:shd w:val="clear" w:color="auto" w:fill="FFFFFF"/>
          </w:tcPr>
          <w:p w14:paraId="1CB65B5F">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0.5</w:t>
            </w:r>
          </w:p>
        </w:tc>
      </w:tr>
      <w:tr w14:paraId="54A0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FFFFFF"/>
          </w:tcPr>
          <w:p w14:paraId="51C7B3DC">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snthr</w:t>
            </w:r>
          </w:p>
        </w:tc>
        <w:tc>
          <w:tcPr>
            <w:tcW w:w="4261" w:type="dxa"/>
            <w:tcBorders>
              <w:top w:val="nil"/>
              <w:left w:val="nil"/>
              <w:bottom w:val="nil"/>
              <w:right w:val="nil"/>
            </w:tcBorders>
            <w:shd w:val="clear" w:color="auto" w:fill="FFFFFF"/>
          </w:tcPr>
          <w:p w14:paraId="4A8C2704">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6</w:t>
            </w:r>
          </w:p>
        </w:tc>
      </w:tr>
      <w:tr w14:paraId="0096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FFFFFF"/>
          </w:tcPr>
          <w:p w14:paraId="76390753">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ppm</w:t>
            </w:r>
          </w:p>
        </w:tc>
        <w:tc>
          <w:tcPr>
            <w:tcW w:w="4261" w:type="dxa"/>
            <w:tcBorders>
              <w:top w:val="nil"/>
              <w:left w:val="nil"/>
              <w:bottom w:val="nil"/>
              <w:right w:val="nil"/>
            </w:tcBorders>
            <w:shd w:val="clear" w:color="auto" w:fill="FFFFFF"/>
          </w:tcPr>
          <w:p w14:paraId="763D49D9">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30</w:t>
            </w:r>
          </w:p>
        </w:tc>
      </w:tr>
      <w:tr w14:paraId="23E3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FFFFFF"/>
          </w:tcPr>
          <w:p w14:paraId="5F671EFF">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peakwidth</w:t>
            </w:r>
          </w:p>
        </w:tc>
        <w:tc>
          <w:tcPr>
            <w:tcW w:w="4261" w:type="dxa"/>
            <w:tcBorders>
              <w:top w:val="nil"/>
              <w:left w:val="nil"/>
              <w:bottom w:val="nil"/>
              <w:right w:val="nil"/>
            </w:tcBorders>
            <w:shd w:val="clear" w:color="auto" w:fill="FFFFFF"/>
          </w:tcPr>
          <w:p w14:paraId="7E7D4E55">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5,25</w:t>
            </w:r>
          </w:p>
        </w:tc>
      </w:tr>
      <w:tr w14:paraId="527F0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FFFFFF"/>
          </w:tcPr>
          <w:p w14:paraId="2CAC257E">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bw2</w:t>
            </w:r>
          </w:p>
        </w:tc>
        <w:tc>
          <w:tcPr>
            <w:tcW w:w="4261" w:type="dxa"/>
            <w:tcBorders>
              <w:top w:val="nil"/>
              <w:left w:val="nil"/>
              <w:bottom w:val="nil"/>
              <w:right w:val="nil"/>
            </w:tcBorders>
            <w:shd w:val="clear" w:color="auto" w:fill="FFFFFF"/>
          </w:tcPr>
          <w:p w14:paraId="3172E71B">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5</w:t>
            </w:r>
          </w:p>
        </w:tc>
      </w:tr>
      <w:tr w14:paraId="24D62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FFFFFF"/>
          </w:tcPr>
          <w:p w14:paraId="13B3C1F8">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mzwid</w:t>
            </w:r>
          </w:p>
        </w:tc>
        <w:tc>
          <w:tcPr>
            <w:tcW w:w="4261" w:type="dxa"/>
            <w:tcBorders>
              <w:top w:val="nil"/>
              <w:left w:val="nil"/>
              <w:bottom w:val="nil"/>
              <w:right w:val="nil"/>
            </w:tcBorders>
            <w:shd w:val="clear" w:color="auto" w:fill="FFFFFF"/>
          </w:tcPr>
          <w:p w14:paraId="6DB388DE">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0.015</w:t>
            </w:r>
          </w:p>
        </w:tc>
      </w:tr>
      <w:tr w14:paraId="3FDDD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FFFFFF"/>
          </w:tcPr>
          <w:p w14:paraId="54D359EF">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mzdiff</w:t>
            </w:r>
          </w:p>
        </w:tc>
        <w:tc>
          <w:tcPr>
            <w:tcW w:w="4261" w:type="dxa"/>
            <w:tcBorders>
              <w:top w:val="nil"/>
              <w:left w:val="nil"/>
              <w:bottom w:val="nil"/>
              <w:right w:val="nil"/>
            </w:tcBorders>
            <w:shd w:val="clear" w:color="auto" w:fill="FFFFFF"/>
          </w:tcPr>
          <w:p w14:paraId="7A2A3AE7">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0.01</w:t>
            </w:r>
          </w:p>
        </w:tc>
      </w:tr>
      <w:tr w14:paraId="441FE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single" w:color="000000" w:sz="12" w:space="0"/>
              <w:right w:val="nil"/>
            </w:tcBorders>
            <w:shd w:val="clear" w:color="auto" w:fill="FFFFFF"/>
          </w:tcPr>
          <w:p w14:paraId="0E66A17A">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profStep.OBIWarp</w:t>
            </w:r>
          </w:p>
        </w:tc>
        <w:tc>
          <w:tcPr>
            <w:tcW w:w="4261" w:type="dxa"/>
            <w:tcBorders>
              <w:top w:val="nil"/>
              <w:left w:val="nil"/>
              <w:bottom w:val="single" w:color="000000" w:sz="12" w:space="0"/>
              <w:right w:val="nil"/>
            </w:tcBorders>
            <w:shd w:val="clear" w:color="auto" w:fill="FFFFFF"/>
          </w:tcPr>
          <w:p w14:paraId="53565E9E">
            <w:pPr>
              <w:keepNext w:val="0"/>
              <w:keepLines w:val="0"/>
              <w:widowControl/>
              <w:suppressLineNumbers w:val="0"/>
              <w:jc w:val="center"/>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0.1</w:t>
            </w:r>
          </w:p>
        </w:tc>
      </w:tr>
    </w:tbl>
    <w:p w14:paraId="16A5D2C5">
      <w:pPr>
        <w:keepNext w:val="0"/>
        <w:keepLines w:val="0"/>
        <w:widowControl/>
        <w:suppressLineNumbers w:val="0"/>
        <w:jc w:val="left"/>
        <w:rPr>
          <w:rFonts w:hint="eastAsia" w:ascii="宋体" w:hAnsi="宋体" w:eastAsia="宋体" w:cs="宋体"/>
          <w:color w:val="000000"/>
          <w:kern w:val="0"/>
          <w:sz w:val="20"/>
          <w:szCs w:val="20"/>
          <w:lang w:val="en-US" w:eastAsia="zh-CN" w:bidi="ar"/>
        </w:rPr>
      </w:pPr>
    </w:p>
    <w:p w14:paraId="5C6BD528">
      <w:pPr>
        <w:numPr>
          <w:ilvl w:val="0"/>
          <w:numId w:val="0"/>
        </w:numPr>
        <w:rPr>
          <w:rFonts w:hint="eastAsia" w:ascii="Times New Roman" w:hAnsi="Times New Roman" w:cs="Times New Roman"/>
          <w:sz w:val="24"/>
          <w:szCs w:val="32"/>
          <w:lang w:val="en-US" w:eastAsia="zh-CN"/>
        </w:rPr>
      </w:pPr>
      <w:r>
        <w:rPr>
          <w:rFonts w:hint="default" w:ascii="Times New Roman" w:hAnsi="Times New Roman" w:cs="Times New Roman"/>
          <w:sz w:val="24"/>
          <w:szCs w:val="32"/>
          <w:lang w:val="en-US" w:eastAsia="zh-CN"/>
        </w:rPr>
        <w:t>2.3 Key parameters of metaX</w:t>
      </w:r>
      <w:r>
        <w:rPr>
          <w:rFonts w:hint="eastAsia" w:ascii="Times New Roman" w:hAnsi="Times New Roman" w:cs="Times New Roman"/>
          <w:sz w:val="24"/>
          <w:szCs w:val="32"/>
          <w:lang w:val="en-US" w:eastAsia="zh-CN"/>
        </w:rPr>
        <w:t xml:space="preserve"> </w:t>
      </w:r>
    </w:p>
    <w:p w14:paraId="359BAFEA">
      <w:pPr>
        <w:numPr>
          <w:ilvl w:val="0"/>
          <w:numId w:val="0"/>
        </w:numPr>
        <w:rPr>
          <w:rFonts w:hint="default" w:ascii="Times New Roman" w:hAnsi="Times New Roman" w:cs="Times New Roman"/>
          <w:sz w:val="24"/>
          <w:szCs w:val="32"/>
          <w:lang w:val="en-US" w:eastAsia="zh-CN"/>
        </w:rPr>
      </w:pPr>
    </w:p>
    <w:p w14:paraId="594B7836">
      <w:pPr>
        <w:widowControl w:val="0"/>
        <w:numPr>
          <w:ilvl w:val="0"/>
          <w:numId w:val="0"/>
        </w:numPr>
        <w:jc w:val="both"/>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 xml:space="preserve">Post-processing of the extracted peaks was conducted, primarily involving level 1 metabolite identification and quantitative analysis. </w:t>
      </w:r>
    </w:p>
    <w:p w14:paraId="35B63665">
      <w:pPr>
        <w:widowControl w:val="0"/>
        <w:numPr>
          <w:ilvl w:val="0"/>
          <w:numId w:val="0"/>
        </w:numPr>
        <w:jc w:val="both"/>
        <w:rPr>
          <w:rFonts w:hint="default" w:ascii="Times New Roman" w:hAnsi="Times New Roman" w:cs="Times New Roman"/>
          <w:sz w:val="22"/>
          <w:szCs w:val="28"/>
          <w:lang w:val="en-US" w:eastAsia="zh-CN"/>
        </w:rPr>
      </w:pPr>
    </w:p>
    <w:p w14:paraId="384D19AE">
      <w:pPr>
        <w:widowControl w:val="0"/>
        <w:numPr>
          <w:ilvl w:val="0"/>
          <w:numId w:val="0"/>
        </w:numPr>
        <w:jc w:val="both"/>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Level 1 identification parameters of metaX</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6"/>
        <w:gridCol w:w="4516"/>
      </w:tblGrid>
      <w:tr w14:paraId="2D13A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06" w:type="dxa"/>
            <w:tcBorders>
              <w:top w:val="single" w:color="000000" w:sz="12" w:space="0"/>
              <w:left w:val="nil"/>
              <w:bottom w:val="single" w:color="000000" w:sz="4" w:space="0"/>
              <w:right w:val="nil"/>
              <w:tl2br w:val="nil"/>
            </w:tcBorders>
            <w:shd w:val="clear" w:color="auto" w:fill="FFFFFF"/>
          </w:tcPr>
          <w:p w14:paraId="5917F1FF">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Item</w:t>
            </w:r>
          </w:p>
        </w:tc>
        <w:tc>
          <w:tcPr>
            <w:tcW w:w="4516" w:type="dxa"/>
            <w:tcBorders>
              <w:top w:val="single" w:color="000000" w:sz="12" w:space="0"/>
              <w:left w:val="nil"/>
              <w:bottom w:val="single" w:color="000000" w:sz="4" w:space="0"/>
              <w:right w:val="nil"/>
            </w:tcBorders>
            <w:shd w:val="clear" w:color="auto" w:fill="FFFFFF"/>
          </w:tcPr>
          <w:p w14:paraId="64D908DC">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Parameter</w:t>
            </w:r>
          </w:p>
        </w:tc>
      </w:tr>
      <w:tr w14:paraId="76A8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06" w:type="dxa"/>
            <w:tcBorders>
              <w:top w:val="single" w:color="000000" w:sz="4" w:space="0"/>
              <w:left w:val="nil"/>
              <w:bottom w:val="nil"/>
              <w:right w:val="nil"/>
            </w:tcBorders>
            <w:shd w:val="clear" w:color="auto" w:fill="FFFFFF"/>
          </w:tcPr>
          <w:p w14:paraId="10E9D075">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eastAsia" w:ascii="Times New Roman" w:hAnsi="Times New Roman" w:eastAsia="宋体" w:cs="Times New Roman"/>
                <w:b w:val="0"/>
                <w:color w:val="000000"/>
                <w:kern w:val="0"/>
                <w:sz w:val="21"/>
                <w:szCs w:val="21"/>
                <w:vertAlign w:val="baseline"/>
                <w:lang w:val="en-US" w:eastAsia="zh-CN" w:bidi="ar"/>
              </w:rPr>
              <w:t>a</w:t>
            </w:r>
            <w:r>
              <w:rPr>
                <w:rFonts w:hint="default" w:ascii="Times New Roman" w:hAnsi="Times New Roman" w:eastAsia="宋体" w:cs="Times New Roman"/>
                <w:b w:val="0"/>
                <w:color w:val="000000"/>
                <w:kern w:val="0"/>
                <w:sz w:val="21"/>
                <w:szCs w:val="21"/>
                <w:vertAlign w:val="baseline"/>
                <w:lang w:val="en-US" w:eastAsia="zh-CN" w:bidi="ar"/>
              </w:rPr>
              <w:t xml:space="preserve">dduct ion </w:t>
            </w:r>
          </w:p>
        </w:tc>
        <w:tc>
          <w:tcPr>
            <w:tcW w:w="4516" w:type="dxa"/>
            <w:tcBorders>
              <w:top w:val="single" w:color="000000" w:sz="4" w:space="0"/>
              <w:left w:val="nil"/>
              <w:bottom w:val="nil"/>
              <w:right w:val="nil"/>
            </w:tcBorders>
            <w:shd w:val="clear" w:color="auto" w:fill="FFFFFF"/>
          </w:tcPr>
          <w:p w14:paraId="7230AEB8">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eastAsia" w:ascii="Times New Roman" w:hAnsi="Times New Roman" w:eastAsia="宋体" w:cs="Times New Roman"/>
                <w:b w:val="0"/>
                <w:color w:val="000000"/>
                <w:kern w:val="0"/>
                <w:sz w:val="21"/>
                <w:szCs w:val="21"/>
                <w:vertAlign w:val="baseline"/>
                <w:lang w:val="en-US" w:eastAsia="zh-CN" w:bidi="ar"/>
              </w:rPr>
              <w:t>p</w:t>
            </w:r>
            <w:r>
              <w:rPr>
                <w:rFonts w:hint="default" w:ascii="Times New Roman" w:hAnsi="Times New Roman" w:eastAsia="宋体" w:cs="Times New Roman"/>
                <w:b w:val="0"/>
                <w:color w:val="000000"/>
                <w:kern w:val="0"/>
                <w:sz w:val="21"/>
                <w:szCs w:val="21"/>
                <w:vertAlign w:val="baseline"/>
                <w:lang w:val="en-US" w:eastAsia="zh-CN" w:bidi="ar"/>
              </w:rPr>
              <w:t>os:[M+H]+,[M+Na]+,[M+K]+,[M+NH4]+</w:t>
            </w:r>
          </w:p>
          <w:p w14:paraId="4B2CF259">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eastAsia" w:ascii="Times New Roman" w:hAnsi="Times New Roman" w:eastAsia="宋体" w:cs="Times New Roman"/>
                <w:b w:val="0"/>
                <w:color w:val="000000"/>
                <w:kern w:val="0"/>
                <w:sz w:val="21"/>
                <w:szCs w:val="21"/>
                <w:vertAlign w:val="baseline"/>
                <w:lang w:val="en-US" w:eastAsia="zh-CN" w:bidi="ar"/>
              </w:rPr>
              <w:t>n</w:t>
            </w:r>
            <w:r>
              <w:rPr>
                <w:rFonts w:hint="default" w:ascii="Times New Roman" w:hAnsi="Times New Roman" w:eastAsia="宋体" w:cs="Times New Roman"/>
                <w:b w:val="0"/>
                <w:color w:val="000000"/>
                <w:kern w:val="0"/>
                <w:sz w:val="21"/>
                <w:szCs w:val="21"/>
                <w:vertAlign w:val="baseline"/>
                <w:lang w:val="en-US" w:eastAsia="zh-CN" w:bidi="ar"/>
              </w:rPr>
              <w:t>eg:[</w:t>
            </w:r>
            <w:r>
              <w:rPr>
                <w:rFonts w:hint="eastAsia" w:ascii="Times New Roman" w:hAnsi="Times New Roman" w:eastAsia="宋体" w:cs="Times New Roman"/>
                <w:b w:val="0"/>
                <w:color w:val="000000"/>
                <w:kern w:val="0"/>
                <w:sz w:val="21"/>
                <w:szCs w:val="21"/>
                <w:vertAlign w:val="baseline"/>
                <w:lang w:val="en-US" w:eastAsia="zh-CN" w:bidi="ar"/>
              </w:rPr>
              <w:t>M</w:t>
            </w:r>
            <w:r>
              <w:rPr>
                <w:rFonts w:hint="default" w:ascii="Times New Roman" w:hAnsi="Times New Roman" w:eastAsia="宋体" w:cs="Times New Roman"/>
                <w:b w:val="0"/>
                <w:color w:val="000000"/>
                <w:kern w:val="0"/>
                <w:sz w:val="21"/>
                <w:szCs w:val="21"/>
                <w:vertAlign w:val="baseline"/>
                <w:lang w:val="en-US" w:eastAsia="zh-CN" w:bidi="ar"/>
              </w:rPr>
              <w:t>-</w:t>
            </w:r>
            <w:r>
              <w:rPr>
                <w:rFonts w:hint="eastAsia" w:ascii="Times New Roman" w:hAnsi="Times New Roman" w:eastAsia="宋体" w:cs="Times New Roman"/>
                <w:b w:val="0"/>
                <w:color w:val="000000"/>
                <w:kern w:val="0"/>
                <w:sz w:val="21"/>
                <w:szCs w:val="21"/>
                <w:vertAlign w:val="baseline"/>
                <w:lang w:val="en-US" w:eastAsia="zh-CN" w:bidi="ar"/>
              </w:rPr>
              <w:t>H</w:t>
            </w:r>
            <w:r>
              <w:rPr>
                <w:rFonts w:hint="default" w:ascii="Times New Roman" w:hAnsi="Times New Roman" w:eastAsia="宋体" w:cs="Times New Roman"/>
                <w:b w:val="0"/>
                <w:color w:val="000000"/>
                <w:kern w:val="0"/>
                <w:sz w:val="21"/>
                <w:szCs w:val="21"/>
                <w:vertAlign w:val="baseline"/>
                <w:lang w:val="en-US" w:eastAsia="zh-CN" w:bidi="ar"/>
              </w:rPr>
              <w:t>]-,[M+NH4-2H]-,[M+2CI]2-,[2M-3H]3-</w:t>
            </w:r>
          </w:p>
        </w:tc>
      </w:tr>
      <w:tr w14:paraId="30F1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06" w:type="dxa"/>
            <w:tcBorders>
              <w:top w:val="nil"/>
              <w:left w:val="nil"/>
              <w:bottom w:val="single" w:color="000000" w:sz="12" w:space="0"/>
              <w:right w:val="nil"/>
            </w:tcBorders>
            <w:shd w:val="clear" w:color="auto" w:fill="FFFFFF"/>
          </w:tcPr>
          <w:p w14:paraId="6FDD3884">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eastAsia" w:ascii="Times New Roman" w:hAnsi="Times New Roman" w:eastAsia="宋体" w:cs="Times New Roman"/>
                <w:b w:val="0"/>
                <w:color w:val="000000"/>
                <w:kern w:val="0"/>
                <w:sz w:val="21"/>
                <w:szCs w:val="21"/>
                <w:vertAlign w:val="baseline"/>
                <w:lang w:val="en-US" w:eastAsia="zh-CN" w:bidi="ar"/>
              </w:rPr>
              <w:t>m</w:t>
            </w:r>
            <w:r>
              <w:rPr>
                <w:rFonts w:hint="default" w:ascii="Times New Roman" w:hAnsi="Times New Roman" w:eastAsia="宋体" w:cs="Times New Roman"/>
                <w:b w:val="0"/>
                <w:color w:val="000000"/>
                <w:kern w:val="0"/>
                <w:sz w:val="21"/>
                <w:szCs w:val="21"/>
                <w:vertAlign w:val="baseline"/>
                <w:lang w:val="en-US" w:eastAsia="zh-CN" w:bidi="ar"/>
              </w:rPr>
              <w:t>s1 mass tolerance</w:t>
            </w:r>
          </w:p>
        </w:tc>
        <w:tc>
          <w:tcPr>
            <w:tcW w:w="4516" w:type="dxa"/>
            <w:tcBorders>
              <w:top w:val="nil"/>
              <w:left w:val="nil"/>
              <w:bottom w:val="single" w:color="000000" w:sz="12" w:space="0"/>
              <w:right w:val="nil"/>
            </w:tcBorders>
            <w:shd w:val="clear" w:color="auto" w:fill="FFFFFF"/>
          </w:tcPr>
          <w:p w14:paraId="466AA772">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10ppm</w:t>
            </w:r>
          </w:p>
        </w:tc>
      </w:tr>
    </w:tbl>
    <w:p w14:paraId="593CE48E">
      <w:pPr>
        <w:widowControl w:val="0"/>
        <w:numPr>
          <w:ilvl w:val="0"/>
          <w:numId w:val="0"/>
        </w:numPr>
        <w:jc w:val="both"/>
        <w:rPr>
          <w:rFonts w:hint="eastAsia" w:ascii="Times New Roman" w:hAnsi="Times New Roman" w:cs="Times New Roman"/>
          <w:sz w:val="22"/>
          <w:szCs w:val="28"/>
          <w:lang w:val="en-US" w:eastAsia="zh-CN"/>
        </w:rPr>
      </w:pPr>
    </w:p>
    <w:p w14:paraId="6237EAA2">
      <w:pPr>
        <w:widowControl w:val="0"/>
        <w:numPr>
          <w:ilvl w:val="0"/>
          <w:numId w:val="0"/>
        </w:numPr>
        <w:jc w:val="both"/>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Level 2 identification parameters</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1"/>
        <w:gridCol w:w="4541"/>
      </w:tblGrid>
      <w:tr w14:paraId="2BAD0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1" w:type="dxa"/>
            <w:tcBorders>
              <w:top w:val="single" w:color="000000" w:sz="12" w:space="0"/>
              <w:left w:val="nil"/>
              <w:bottom w:val="single" w:color="000000" w:sz="4" w:space="0"/>
              <w:right w:val="nil"/>
              <w:tl2br w:val="nil"/>
            </w:tcBorders>
            <w:shd w:val="clear" w:color="auto" w:fill="FFFFFF"/>
          </w:tcPr>
          <w:p w14:paraId="32970729">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Item</w:t>
            </w:r>
          </w:p>
        </w:tc>
        <w:tc>
          <w:tcPr>
            <w:tcW w:w="4541" w:type="dxa"/>
            <w:tcBorders>
              <w:top w:val="single" w:color="000000" w:sz="12" w:space="0"/>
              <w:left w:val="nil"/>
              <w:bottom w:val="single" w:color="000000" w:sz="4" w:space="0"/>
              <w:right w:val="nil"/>
            </w:tcBorders>
            <w:shd w:val="clear" w:color="auto" w:fill="FFFFFF"/>
          </w:tcPr>
          <w:p w14:paraId="0A04F282">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eastAsia" w:ascii="Times New Roman" w:hAnsi="Times New Roman" w:eastAsia="宋体" w:cs="Times New Roman"/>
                <w:b w:val="0"/>
                <w:color w:val="000000"/>
                <w:kern w:val="0"/>
                <w:sz w:val="21"/>
                <w:szCs w:val="21"/>
                <w:vertAlign w:val="baseline"/>
                <w:lang w:val="en-US" w:eastAsia="zh-CN" w:bidi="ar"/>
              </w:rPr>
              <w:t>P</w:t>
            </w:r>
            <w:r>
              <w:rPr>
                <w:rFonts w:hint="default" w:ascii="Times New Roman" w:hAnsi="Times New Roman" w:eastAsia="宋体" w:cs="Times New Roman"/>
                <w:b w:val="0"/>
                <w:color w:val="000000"/>
                <w:kern w:val="0"/>
                <w:sz w:val="21"/>
                <w:szCs w:val="21"/>
                <w:vertAlign w:val="baseline"/>
                <w:lang w:val="en-US" w:eastAsia="zh-CN" w:bidi="ar"/>
              </w:rPr>
              <w:t>arameter</w:t>
            </w:r>
          </w:p>
        </w:tc>
      </w:tr>
      <w:tr w14:paraId="6E15C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1" w:type="dxa"/>
            <w:tcBorders>
              <w:top w:val="single" w:color="000000" w:sz="4" w:space="0"/>
              <w:left w:val="nil"/>
              <w:bottom w:val="nil"/>
              <w:right w:val="nil"/>
            </w:tcBorders>
            <w:shd w:val="clear" w:color="auto" w:fill="FFFFFF"/>
          </w:tcPr>
          <w:p w14:paraId="26FBC9FB">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ms1 mass tolerance</w:t>
            </w:r>
          </w:p>
        </w:tc>
        <w:tc>
          <w:tcPr>
            <w:tcW w:w="4541" w:type="dxa"/>
            <w:tcBorders>
              <w:top w:val="single" w:color="000000" w:sz="4" w:space="0"/>
              <w:left w:val="nil"/>
              <w:bottom w:val="nil"/>
              <w:right w:val="nil"/>
            </w:tcBorders>
            <w:shd w:val="clear" w:color="auto" w:fill="FFFFFF"/>
          </w:tcPr>
          <w:p w14:paraId="236D2789">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0.01 Da</w:t>
            </w:r>
          </w:p>
        </w:tc>
      </w:tr>
      <w:tr w14:paraId="3753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1" w:type="dxa"/>
            <w:tcBorders>
              <w:top w:val="nil"/>
              <w:left w:val="nil"/>
              <w:bottom w:val="nil"/>
              <w:right w:val="nil"/>
            </w:tcBorders>
            <w:shd w:val="clear" w:color="auto" w:fill="FFFFFF"/>
          </w:tcPr>
          <w:p w14:paraId="459C3B62">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eastAsia" w:ascii="Times New Roman" w:hAnsi="Times New Roman" w:eastAsia="宋体" w:cs="Times New Roman"/>
                <w:b w:val="0"/>
                <w:color w:val="000000"/>
                <w:kern w:val="0"/>
                <w:sz w:val="21"/>
                <w:szCs w:val="21"/>
                <w:vertAlign w:val="baseline"/>
                <w:lang w:val="en-US" w:eastAsia="zh-CN" w:bidi="ar"/>
              </w:rPr>
              <w:t>m</w:t>
            </w:r>
            <w:r>
              <w:rPr>
                <w:rFonts w:hint="default" w:ascii="Times New Roman" w:hAnsi="Times New Roman" w:eastAsia="宋体" w:cs="Times New Roman"/>
                <w:b w:val="0"/>
                <w:color w:val="000000"/>
                <w:kern w:val="0"/>
                <w:sz w:val="21"/>
                <w:szCs w:val="21"/>
                <w:vertAlign w:val="baseline"/>
                <w:lang w:val="en-US" w:eastAsia="zh-CN" w:bidi="ar"/>
              </w:rPr>
              <w:t>s2 mass toleran</w:t>
            </w:r>
            <w:r>
              <w:rPr>
                <w:rFonts w:hint="eastAsia" w:ascii="Times New Roman" w:hAnsi="Times New Roman" w:eastAsia="宋体" w:cs="Times New Roman"/>
                <w:b w:val="0"/>
                <w:color w:val="000000"/>
                <w:kern w:val="0"/>
                <w:sz w:val="21"/>
                <w:szCs w:val="21"/>
                <w:vertAlign w:val="baseline"/>
                <w:lang w:val="en-US" w:eastAsia="zh-CN" w:bidi="ar"/>
              </w:rPr>
              <w:t>c</w:t>
            </w:r>
            <w:r>
              <w:rPr>
                <w:rFonts w:hint="default" w:ascii="Times New Roman" w:hAnsi="Times New Roman" w:eastAsia="宋体" w:cs="Times New Roman"/>
                <w:b w:val="0"/>
                <w:color w:val="000000"/>
                <w:kern w:val="0"/>
                <w:sz w:val="21"/>
                <w:szCs w:val="21"/>
                <w:vertAlign w:val="baseline"/>
                <w:lang w:val="en-US" w:eastAsia="zh-CN" w:bidi="ar"/>
              </w:rPr>
              <w:t>e</w:t>
            </w:r>
          </w:p>
        </w:tc>
        <w:tc>
          <w:tcPr>
            <w:tcW w:w="4541" w:type="dxa"/>
            <w:tcBorders>
              <w:top w:val="nil"/>
              <w:left w:val="nil"/>
              <w:bottom w:val="nil"/>
              <w:right w:val="nil"/>
            </w:tcBorders>
            <w:shd w:val="clear" w:color="auto" w:fill="FFFFFF"/>
          </w:tcPr>
          <w:p w14:paraId="242893A4">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0.05 Da</w:t>
            </w:r>
          </w:p>
        </w:tc>
      </w:tr>
      <w:tr w14:paraId="2E2A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1" w:type="dxa"/>
            <w:tcBorders>
              <w:top w:val="nil"/>
              <w:left w:val="nil"/>
              <w:bottom w:val="nil"/>
              <w:right w:val="nil"/>
            </w:tcBorders>
            <w:shd w:val="clear" w:color="auto" w:fill="FFFFFF"/>
          </w:tcPr>
          <w:p w14:paraId="211484EE">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eastAsia" w:ascii="Times New Roman" w:hAnsi="Times New Roman" w:eastAsia="宋体" w:cs="Times New Roman"/>
                <w:b w:val="0"/>
                <w:color w:val="000000"/>
                <w:kern w:val="0"/>
                <w:sz w:val="21"/>
                <w:szCs w:val="21"/>
                <w:vertAlign w:val="baseline"/>
                <w:lang w:val="en-US" w:eastAsia="zh-CN" w:bidi="ar"/>
              </w:rPr>
              <w:t>i</w:t>
            </w:r>
            <w:r>
              <w:rPr>
                <w:rFonts w:hint="default" w:ascii="Times New Roman" w:hAnsi="Times New Roman" w:eastAsia="宋体" w:cs="Times New Roman"/>
                <w:b w:val="0"/>
                <w:color w:val="000000"/>
                <w:kern w:val="0"/>
                <w:sz w:val="21"/>
                <w:szCs w:val="21"/>
                <w:vertAlign w:val="baseline"/>
                <w:lang w:val="en-US" w:eastAsia="zh-CN" w:bidi="ar"/>
              </w:rPr>
              <w:t>dentification score cut off</w:t>
            </w:r>
          </w:p>
        </w:tc>
        <w:tc>
          <w:tcPr>
            <w:tcW w:w="4541" w:type="dxa"/>
            <w:tcBorders>
              <w:top w:val="nil"/>
              <w:left w:val="nil"/>
              <w:bottom w:val="nil"/>
              <w:right w:val="nil"/>
            </w:tcBorders>
            <w:shd w:val="clear" w:color="auto" w:fill="FFFFFF"/>
          </w:tcPr>
          <w:p w14:paraId="741F5E53">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75%</w:t>
            </w:r>
          </w:p>
        </w:tc>
      </w:tr>
      <w:tr w14:paraId="30FA2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1" w:type="dxa"/>
            <w:tcBorders>
              <w:top w:val="nil"/>
              <w:left w:val="nil"/>
              <w:bottom w:val="single" w:color="000000" w:sz="12" w:space="0"/>
              <w:right w:val="nil"/>
            </w:tcBorders>
            <w:shd w:val="clear" w:color="auto" w:fill="FFFFFF"/>
          </w:tcPr>
          <w:p w14:paraId="5F95BAC8">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eastAsia" w:ascii="Times New Roman" w:hAnsi="Times New Roman" w:eastAsia="宋体" w:cs="Times New Roman"/>
                <w:b w:val="0"/>
                <w:color w:val="000000"/>
                <w:kern w:val="0"/>
                <w:sz w:val="21"/>
                <w:szCs w:val="21"/>
                <w:vertAlign w:val="baseline"/>
                <w:lang w:val="en-US" w:eastAsia="zh-CN" w:bidi="ar"/>
              </w:rPr>
              <w:t>d</w:t>
            </w:r>
            <w:r>
              <w:rPr>
                <w:rFonts w:hint="default" w:ascii="Times New Roman" w:hAnsi="Times New Roman" w:eastAsia="宋体" w:cs="Times New Roman"/>
                <w:b w:val="0"/>
                <w:color w:val="000000"/>
                <w:kern w:val="0"/>
                <w:sz w:val="21"/>
                <w:szCs w:val="21"/>
                <w:vertAlign w:val="baseline"/>
                <w:lang w:val="en-US" w:eastAsia="zh-CN" w:bidi="ar"/>
              </w:rPr>
              <w:t>ata base</w:t>
            </w:r>
          </w:p>
        </w:tc>
        <w:tc>
          <w:tcPr>
            <w:tcW w:w="4541" w:type="dxa"/>
            <w:tcBorders>
              <w:top w:val="nil"/>
              <w:left w:val="nil"/>
              <w:bottom w:val="single" w:color="000000" w:sz="12" w:space="0"/>
              <w:right w:val="nil"/>
            </w:tcBorders>
            <w:shd w:val="clear" w:color="auto" w:fill="FFFFFF"/>
          </w:tcPr>
          <w:p w14:paraId="0DAAC076">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eastAsia" w:ascii="Times New Roman" w:hAnsi="Times New Roman" w:eastAsia="宋体" w:cs="Times New Roman"/>
                <w:b w:val="0"/>
                <w:color w:val="000000"/>
                <w:kern w:val="0"/>
                <w:sz w:val="21"/>
                <w:szCs w:val="21"/>
                <w:vertAlign w:val="baseline"/>
                <w:lang w:val="en-US" w:eastAsia="zh-CN" w:bidi="ar"/>
              </w:rPr>
              <w:t>i</w:t>
            </w:r>
            <w:r>
              <w:rPr>
                <w:rFonts w:hint="default" w:ascii="Times New Roman" w:hAnsi="Times New Roman" w:eastAsia="宋体" w:cs="Times New Roman"/>
                <w:b w:val="0"/>
                <w:color w:val="000000"/>
                <w:kern w:val="0"/>
                <w:sz w:val="21"/>
                <w:szCs w:val="21"/>
                <w:vertAlign w:val="baseline"/>
                <w:lang w:val="en-US" w:eastAsia="zh-CN" w:bidi="ar"/>
              </w:rPr>
              <w:t>n-house,Massbank,HMDB,Lipid blast</w:t>
            </w:r>
          </w:p>
        </w:tc>
      </w:tr>
    </w:tbl>
    <w:p w14:paraId="094A9C63">
      <w:pPr>
        <w:widowControl w:val="0"/>
        <w:numPr>
          <w:ilvl w:val="0"/>
          <w:numId w:val="0"/>
        </w:numPr>
        <w:jc w:val="both"/>
        <w:rPr>
          <w:rFonts w:hint="eastAsia" w:ascii="Times New Roman" w:hAnsi="Times New Roman" w:cs="Times New Roman"/>
          <w:sz w:val="22"/>
          <w:szCs w:val="28"/>
          <w:lang w:val="en-US" w:eastAsia="zh-CN"/>
        </w:rPr>
      </w:pPr>
    </w:p>
    <w:p w14:paraId="5D7B8414">
      <w:pPr>
        <w:widowControl w:val="0"/>
        <w:numPr>
          <w:ilvl w:val="0"/>
          <w:numId w:val="0"/>
        </w:numPr>
        <w:jc w:val="both"/>
        <w:rPr>
          <w:rFonts w:hint="eastAsia" w:ascii="Times New Roman" w:hAnsi="Times New Roman" w:cs="Times New Roman"/>
          <w:sz w:val="22"/>
          <w:szCs w:val="28"/>
          <w:lang w:val="en-US" w:eastAsia="zh-CN"/>
        </w:rPr>
      </w:pPr>
      <w:r>
        <w:rPr>
          <w:rFonts w:hint="eastAsia" w:ascii="Times New Roman" w:hAnsi="Times New Roman" w:cs="Times New Roman"/>
          <w:sz w:val="22"/>
          <w:szCs w:val="28"/>
          <w:lang w:val="en-US" w:eastAsia="zh-CN"/>
        </w:rPr>
        <w:t>Metabolite quantification parameters of metaX</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1"/>
        <w:gridCol w:w="4541"/>
      </w:tblGrid>
      <w:tr w14:paraId="2039E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1" w:type="dxa"/>
            <w:tcBorders>
              <w:top w:val="single" w:color="000000" w:sz="12" w:space="0"/>
              <w:left w:val="nil"/>
              <w:bottom w:val="single" w:color="000000" w:sz="4" w:space="0"/>
              <w:right w:val="nil"/>
              <w:tl2br w:val="nil"/>
            </w:tcBorders>
            <w:shd w:val="clear" w:color="auto" w:fill="FFFFFF"/>
          </w:tcPr>
          <w:p w14:paraId="5552115C">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Item</w:t>
            </w:r>
          </w:p>
        </w:tc>
        <w:tc>
          <w:tcPr>
            <w:tcW w:w="4541" w:type="dxa"/>
            <w:tcBorders>
              <w:top w:val="single" w:color="000000" w:sz="12" w:space="0"/>
              <w:left w:val="nil"/>
              <w:bottom w:val="single" w:color="000000" w:sz="4" w:space="0"/>
              <w:right w:val="nil"/>
            </w:tcBorders>
            <w:shd w:val="clear" w:color="auto" w:fill="FFFFFF"/>
          </w:tcPr>
          <w:p w14:paraId="64A71BFD">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Parameter</w:t>
            </w:r>
          </w:p>
        </w:tc>
      </w:tr>
      <w:tr w14:paraId="2F6BA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1" w:type="dxa"/>
            <w:tcBorders>
              <w:top w:val="single" w:color="000000" w:sz="4" w:space="0"/>
              <w:left w:val="nil"/>
              <w:bottom w:val="nil"/>
              <w:right w:val="nil"/>
            </w:tcBorders>
            <w:shd w:val="clear" w:color="auto" w:fill="FFFFFF"/>
          </w:tcPr>
          <w:p w14:paraId="123D19EB">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eastAsia" w:ascii="Times New Roman" w:hAnsi="Times New Roman" w:eastAsia="宋体" w:cs="Times New Roman"/>
                <w:b w:val="0"/>
                <w:color w:val="000000"/>
                <w:kern w:val="0"/>
                <w:sz w:val="21"/>
                <w:szCs w:val="21"/>
                <w:vertAlign w:val="baseline"/>
                <w:lang w:val="en-US" w:eastAsia="zh-CN" w:bidi="ar"/>
              </w:rPr>
              <w:t>m</w:t>
            </w:r>
            <w:r>
              <w:rPr>
                <w:rFonts w:hint="default" w:ascii="Times New Roman" w:hAnsi="Times New Roman" w:eastAsia="宋体" w:cs="Times New Roman"/>
                <w:b w:val="0"/>
                <w:color w:val="000000"/>
                <w:kern w:val="0"/>
                <w:sz w:val="21"/>
                <w:szCs w:val="21"/>
                <w:vertAlign w:val="baseline"/>
                <w:lang w:val="en-US" w:eastAsia="zh-CN" w:bidi="ar"/>
              </w:rPr>
              <w:t>issing value imputation</w:t>
            </w:r>
          </w:p>
        </w:tc>
        <w:tc>
          <w:tcPr>
            <w:tcW w:w="4541" w:type="dxa"/>
            <w:tcBorders>
              <w:top w:val="single" w:color="000000" w:sz="4" w:space="0"/>
              <w:left w:val="nil"/>
              <w:bottom w:val="nil"/>
              <w:right w:val="nil"/>
            </w:tcBorders>
            <w:shd w:val="clear" w:color="auto" w:fill="FFFFFF"/>
          </w:tcPr>
          <w:p w14:paraId="4F5C6AC5">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knn</w:t>
            </w:r>
          </w:p>
        </w:tc>
      </w:tr>
      <w:tr w14:paraId="2CF5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1" w:type="dxa"/>
            <w:tcBorders>
              <w:top w:val="nil"/>
              <w:left w:val="nil"/>
              <w:bottom w:val="nil"/>
              <w:right w:val="nil"/>
            </w:tcBorders>
            <w:shd w:val="clear" w:color="auto" w:fill="FFFFFF"/>
          </w:tcPr>
          <w:p w14:paraId="1641B4B1">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scaling</w:t>
            </w:r>
          </w:p>
        </w:tc>
        <w:tc>
          <w:tcPr>
            <w:tcW w:w="4541" w:type="dxa"/>
            <w:tcBorders>
              <w:top w:val="nil"/>
              <w:left w:val="nil"/>
              <w:bottom w:val="nil"/>
              <w:right w:val="nil"/>
            </w:tcBorders>
            <w:shd w:val="clear" w:color="auto" w:fill="FFFFFF"/>
          </w:tcPr>
          <w:p w14:paraId="016D0119">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pareto</w:t>
            </w:r>
          </w:p>
        </w:tc>
      </w:tr>
      <w:tr w14:paraId="52AC6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81" w:type="dxa"/>
            <w:tcBorders>
              <w:top w:val="nil"/>
              <w:left w:val="nil"/>
              <w:bottom w:val="single" w:color="000000" w:sz="12" w:space="0"/>
              <w:right w:val="nil"/>
            </w:tcBorders>
            <w:shd w:val="clear" w:color="auto" w:fill="FFFFFF"/>
          </w:tcPr>
          <w:p w14:paraId="3844167A">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normalization</w:t>
            </w:r>
          </w:p>
        </w:tc>
        <w:tc>
          <w:tcPr>
            <w:tcW w:w="4541" w:type="dxa"/>
            <w:tcBorders>
              <w:top w:val="nil"/>
              <w:left w:val="nil"/>
              <w:bottom w:val="single" w:color="000000" w:sz="12" w:space="0"/>
              <w:right w:val="nil"/>
            </w:tcBorders>
            <w:shd w:val="clear" w:color="auto" w:fill="FFFFFF"/>
          </w:tcPr>
          <w:p w14:paraId="7FE15226">
            <w:pPr>
              <w:keepNext w:val="0"/>
              <w:keepLines w:val="0"/>
              <w:widowControl/>
              <w:suppressLineNumbers w:val="0"/>
              <w:jc w:val="left"/>
              <w:rPr>
                <w:rFonts w:hint="default" w:ascii="Times New Roman" w:hAnsi="Times New Roman" w:eastAsia="宋体" w:cs="Times New Roman"/>
                <w:b w:val="0"/>
                <w:color w:val="000000"/>
                <w:kern w:val="0"/>
                <w:sz w:val="21"/>
                <w:szCs w:val="21"/>
                <w:vertAlign w:val="baseline"/>
                <w:lang w:val="en-US" w:eastAsia="zh-CN" w:bidi="ar"/>
              </w:rPr>
            </w:pPr>
            <w:r>
              <w:rPr>
                <w:rFonts w:hint="default" w:ascii="Times New Roman" w:hAnsi="Times New Roman" w:eastAsia="宋体" w:cs="Times New Roman"/>
                <w:b w:val="0"/>
                <w:color w:val="000000"/>
                <w:kern w:val="0"/>
                <w:sz w:val="21"/>
                <w:szCs w:val="21"/>
                <w:vertAlign w:val="baseline"/>
                <w:lang w:val="en-US" w:eastAsia="zh-CN" w:bidi="ar"/>
              </w:rPr>
              <w:t>pqn</w:t>
            </w:r>
          </w:p>
        </w:tc>
      </w:tr>
    </w:tbl>
    <w:p w14:paraId="55EF2D19">
      <w:pPr>
        <w:keepNext w:val="0"/>
        <w:keepLines w:val="0"/>
        <w:widowControl/>
        <w:suppressLineNumbers w:val="0"/>
        <w:jc w:val="left"/>
        <w:rPr>
          <w:rFonts w:hint="default" w:ascii="宋体" w:hAnsi="宋体" w:eastAsia="宋体" w:cs="宋体"/>
          <w:color w:val="000000"/>
          <w:kern w:val="0"/>
          <w:sz w:val="20"/>
          <w:szCs w:val="20"/>
          <w:lang w:val="en-US" w:eastAsia="zh-CN" w:bidi="ar"/>
        </w:rPr>
      </w:pPr>
    </w:p>
    <w:p w14:paraId="372AE703">
      <w:pPr>
        <w:widowControl w:val="0"/>
        <w:numPr>
          <w:ilvl w:val="0"/>
          <w:numId w:val="0"/>
        </w:numPr>
        <w:ind w:leftChars="0"/>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auto"/>
    <w:pitch w:val="default"/>
    <w:sig w:usb0="E00006FF" w:usb1="0000FCFF" w:usb2="00000001" w:usb3="00000000" w:csb0="600001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5CE333"/>
    <w:multiLevelType w:val="singleLevel"/>
    <w:tmpl w:val="B85CE33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186F13"/>
    <w:rsid w:val="44D558C9"/>
    <w:rsid w:val="7592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
    <w:name w:val="Normal (Web)"/>
    <w:basedOn w:val="1"/>
    <w:qFormat/>
    <w:uiPriority w:val="0"/>
    <w:rPr>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824</Words>
  <Characters>4609</Characters>
  <Lines>0</Lines>
  <Paragraphs>0</Paragraphs>
  <TotalTime>0</TotalTime>
  <ScaleCrop>false</ScaleCrop>
  <LinksUpToDate>false</LinksUpToDate>
  <CharactersWithSpaces>5369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2025-11-12T12:20:00Z</dcterms:created>
  <dc:creator>16478</dc:creator>
  <cp:lastModifiedBy>饮约</cp:lastModifiedBy>
  <dcterms:modified xsi:type="dcterms:W3CDTF">2025-11-12T13:55:30Z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eyJoZGlkIjoiOGI4NjI5OTBmMDM1ODFlMDkzNDFlZTFiMWNhZWU5ZTMiLCJ1c2VySWQiOiIyNTM4MTA0ODUifQ==</vt:lpwstr>
  </property>
  <property fmtid="{D5CDD505-2E9C-101B-9397-08002B2CF9AE}" pid="4" name="ICV">
    <vt:lpwstr>E6C8A61CB673421E8CDC8A60E8C4FA1E_12</vt:lpwstr>
  </property>
</Properties>
</file>